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  <w:gridCol w:w="5076"/>
      </w:tblGrid>
      <w:tr w:rsidR="00985061" w:rsidRPr="000B5057" w:rsidTr="00985061">
        <w:tc>
          <w:tcPr>
            <w:tcW w:w="3996" w:type="dxa"/>
            <w:vAlign w:val="center"/>
          </w:tcPr>
          <w:p w:rsidR="00985061" w:rsidRPr="00254A18" w:rsidRDefault="00985061" w:rsidP="00985061">
            <w:pPr>
              <w:autoSpaceDE w:val="0"/>
              <w:autoSpaceDN w:val="0"/>
              <w:adjustRightInd w:val="0"/>
              <w:jc w:val="center"/>
              <w:rPr>
                <w:rFonts w:cs="MyriadPro-Bold"/>
                <w:b/>
                <w:bCs/>
                <w:sz w:val="28"/>
                <w:szCs w:val="28"/>
              </w:rPr>
            </w:pPr>
            <w:r w:rsidRPr="00254A18">
              <w:rPr>
                <w:rFonts w:cs="MyriadPro-Bold"/>
                <w:b/>
                <w:bCs/>
                <w:noProof/>
                <w:sz w:val="28"/>
                <w:szCs w:val="28"/>
                <w:lang w:val="de-DE" w:eastAsia="de-DE"/>
              </w:rPr>
              <w:drawing>
                <wp:inline distT="0" distB="0" distL="0" distR="0" wp14:anchorId="67AF275C" wp14:editId="4585D3F5">
                  <wp:extent cx="2390775" cy="676275"/>
                  <wp:effectExtent l="0" t="0" r="9525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vAlign w:val="center"/>
          </w:tcPr>
          <w:p w:rsidR="00985061" w:rsidRPr="000B5057" w:rsidRDefault="00985061" w:rsidP="00985061">
            <w:pPr>
              <w:autoSpaceDE w:val="0"/>
              <w:autoSpaceDN w:val="0"/>
              <w:adjustRightInd w:val="0"/>
              <w:jc w:val="center"/>
              <w:rPr>
                <w:rFonts w:cs="MyriadPro-Bold"/>
                <w:b/>
                <w:bCs/>
                <w:sz w:val="28"/>
                <w:szCs w:val="28"/>
                <w:lang w:val="en-US"/>
              </w:rPr>
            </w:pPr>
            <w:r w:rsidRPr="000B5057">
              <w:rPr>
                <w:rFonts w:cs="MyriadPro-Bold"/>
                <w:b/>
                <w:bCs/>
                <w:sz w:val="28"/>
                <w:szCs w:val="28"/>
                <w:lang w:val="en-US"/>
              </w:rPr>
              <w:t xml:space="preserve">ECDL </w:t>
            </w:r>
            <w:r w:rsidRPr="000B5057">
              <w:rPr>
                <w:rFonts w:cs="MyriadPro-Bold"/>
                <w:b/>
                <w:bCs/>
                <w:sz w:val="28"/>
                <w:szCs w:val="28"/>
                <w:lang w:val="en-US"/>
              </w:rPr>
              <w:br/>
              <w:t>European Computer Driving License</w:t>
            </w:r>
          </w:p>
        </w:tc>
      </w:tr>
    </w:tbl>
    <w:p w:rsidR="00985061" w:rsidRPr="000B5057" w:rsidRDefault="00985061" w:rsidP="003574BC">
      <w:pPr>
        <w:autoSpaceDE w:val="0"/>
        <w:autoSpaceDN w:val="0"/>
        <w:adjustRightInd w:val="0"/>
        <w:spacing w:after="240" w:line="240" w:lineRule="auto"/>
        <w:jc w:val="both"/>
        <w:rPr>
          <w:rFonts w:cs="MyriadPro-Regular"/>
        </w:rPr>
      </w:pPr>
      <w:r w:rsidRPr="000B5057">
        <w:rPr>
          <w:rFonts w:cs="MyriadPro-Regular"/>
        </w:rPr>
        <w:t>Der Europäische Computer Führerschein ist ein internationales Zertifikat, das inzwischen zum Standard für den Nachweis grundlegender Fertigkeiten und Kenntnisse im Umgang mit dem Computer geworden ist.</w:t>
      </w:r>
      <w:r w:rsidR="00F771A2" w:rsidRPr="000B5057">
        <w:rPr>
          <w:rFonts w:cs="MyriadPro-Regular"/>
        </w:rPr>
        <w:t xml:space="preserve"> </w:t>
      </w:r>
      <w:r w:rsidRPr="000B5057">
        <w:rPr>
          <w:rFonts w:cs="MyriadPro-Regular"/>
        </w:rPr>
        <w:t xml:space="preserve">Genauere Informationen unter </w:t>
      </w:r>
      <w:hyperlink r:id="rId8" w:history="1">
        <w:r w:rsidR="003574BC" w:rsidRPr="00572C53">
          <w:rPr>
            <w:rStyle w:val="Hyperlink"/>
            <w:rFonts w:cs="MyriadPro-Regular"/>
          </w:rPr>
          <w:t>www.ecdl.at</w:t>
        </w:r>
      </w:hyperlink>
      <w:r w:rsidR="003574BC">
        <w:rPr>
          <w:rFonts w:cs="MyriadPro-Regular"/>
          <w:u w:val="single"/>
        </w:rPr>
        <w:t xml:space="preserve"> </w:t>
      </w:r>
      <w:r w:rsidR="00254A18" w:rsidRPr="000B5057">
        <w:rPr>
          <w:rFonts w:cs="MyriadPro-Regular"/>
          <w:u w:val="single"/>
        </w:rPr>
        <w:t>.</w:t>
      </w:r>
      <w:r w:rsidR="00254A18" w:rsidRPr="000B5057">
        <w:rPr>
          <w:rFonts w:cs="MyriadPro-Regular"/>
        </w:rPr>
        <w:t xml:space="preserve"> </w:t>
      </w:r>
      <w:r w:rsidRPr="000B5057">
        <w:rPr>
          <w:rFonts w:cs="MyriadPro-Regular"/>
        </w:rPr>
        <w:t xml:space="preserve"> </w:t>
      </w:r>
    </w:p>
    <w:p w:rsidR="00254A18" w:rsidRPr="00254A18" w:rsidRDefault="00254A18" w:rsidP="00254A18">
      <w:pPr>
        <w:autoSpaceDE w:val="0"/>
        <w:autoSpaceDN w:val="0"/>
        <w:adjustRightInd w:val="0"/>
        <w:spacing w:before="120" w:after="0" w:line="240" w:lineRule="auto"/>
        <w:rPr>
          <w:rFonts w:cs="MyriadPro-Bold"/>
          <w:b/>
          <w:bCs/>
          <w:sz w:val="24"/>
          <w:szCs w:val="24"/>
        </w:rPr>
      </w:pPr>
      <w:r w:rsidRPr="00254A18">
        <w:rPr>
          <w:rFonts w:cs="MyriadPro-Bold"/>
          <w:b/>
          <w:bCs/>
          <w:sz w:val="24"/>
          <w:szCs w:val="24"/>
        </w:rPr>
        <w:t>Vorteile des ECDL</w:t>
      </w:r>
    </w:p>
    <w:p w:rsidR="00254A18" w:rsidRPr="000B5057" w:rsidRDefault="00254A18" w:rsidP="003574BC">
      <w:pPr>
        <w:autoSpaceDE w:val="0"/>
        <w:autoSpaceDN w:val="0"/>
        <w:adjustRightInd w:val="0"/>
        <w:spacing w:after="240" w:line="240" w:lineRule="auto"/>
        <w:jc w:val="both"/>
        <w:rPr>
          <w:rFonts w:cs="MyriadPro-Regular"/>
        </w:rPr>
      </w:pPr>
      <w:r w:rsidRPr="000B5057">
        <w:rPr>
          <w:rFonts w:cs="MyriadPro-Regular"/>
        </w:rPr>
        <w:t xml:space="preserve">Heute muss jeder seine Fertigkeiten im Umgang mit dem Computer am Arbeitsplatz oder bei der Jobsuche nachweisen können. Wer den ECDL </w:t>
      </w:r>
      <w:r w:rsidR="00F9614D">
        <w:rPr>
          <w:rFonts w:cs="MyriadPro-Regular"/>
        </w:rPr>
        <w:t>Profile</w:t>
      </w:r>
      <w:r w:rsidRPr="000B5057">
        <w:rPr>
          <w:rFonts w:cs="MyriadPro-Regular"/>
        </w:rPr>
        <w:t xml:space="preserve"> absolviert hat, ist in der Lage, den Computer als Werkzeug in der täglichen Arbeit effizient zu nutzen. Der ECDL </w:t>
      </w:r>
      <w:r w:rsidR="00F9614D">
        <w:rPr>
          <w:rFonts w:cs="MyriadPro-Regular"/>
        </w:rPr>
        <w:t>Profile</w:t>
      </w:r>
      <w:r w:rsidRPr="000B5057">
        <w:rPr>
          <w:rFonts w:cs="MyriadPro-Regular"/>
        </w:rPr>
        <w:t xml:space="preserve"> ist die Basis für alle Computeranwender und stellt eine gute Ausgangsposition für vertiefende IT-Ausbildungen dar.</w:t>
      </w:r>
    </w:p>
    <w:p w:rsidR="003574BC" w:rsidRDefault="00254A18" w:rsidP="003574BC">
      <w:pPr>
        <w:autoSpaceDE w:val="0"/>
        <w:autoSpaceDN w:val="0"/>
        <w:adjustRightInd w:val="0"/>
        <w:spacing w:before="120"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Inhalte des ECDL</w:t>
      </w:r>
    </w:p>
    <w:p w:rsidR="00985061" w:rsidRPr="000B5057" w:rsidRDefault="00254A18" w:rsidP="003574BC">
      <w:pPr>
        <w:autoSpaceDE w:val="0"/>
        <w:autoSpaceDN w:val="0"/>
        <w:adjustRightInd w:val="0"/>
        <w:spacing w:after="0" w:line="240" w:lineRule="auto"/>
      </w:pPr>
      <w:r w:rsidRPr="000B5057">
        <w:t>Die Inhalte des ECDL Base bzw. des ECDL Standards sind in Lernzielkatalogen festgelegt, bestehen aus 4 bzw. 7 Modulen und sind produktunabhängig (</w:t>
      </w:r>
      <w:hyperlink r:id="rId9" w:history="1">
        <w:r w:rsidR="00F9614D" w:rsidRPr="00572C53">
          <w:rPr>
            <w:rStyle w:val="Hyperlink"/>
          </w:rPr>
          <w:t>https://www.it4education.at/ecdl/ecdl-zertifikate.html</w:t>
        </w:r>
      </w:hyperlink>
      <w:r w:rsidR="00F9614D">
        <w:t xml:space="preserve"> </w:t>
      </w:r>
      <w:r w:rsidR="00F9614D" w:rsidRPr="00F9614D">
        <w:t xml:space="preserve"> </w:t>
      </w:r>
      <w:hyperlink r:id="rId10" w:history="1"/>
      <w:r w:rsidR="00F9614D">
        <w:t xml:space="preserve"> </w:t>
      </w:r>
      <w:r w:rsidRPr="000B5057">
        <w:t>).</w:t>
      </w:r>
    </w:p>
    <w:p w:rsidR="00254A18" w:rsidRPr="00254A18" w:rsidRDefault="00254A18" w:rsidP="00254A18">
      <w:pPr>
        <w:spacing w:before="100" w:beforeAutospacing="1" w:after="0" w:line="240" w:lineRule="auto"/>
        <w:rPr>
          <w:rFonts w:eastAsia="Times New Roman" w:cs="Times New Roman"/>
          <w:lang w:eastAsia="de-AT"/>
        </w:rPr>
      </w:pPr>
      <w:r w:rsidRPr="00254A18">
        <w:rPr>
          <w:rFonts w:eastAsia="Times New Roman" w:cs="Times New Roman"/>
          <w:b/>
          <w:bCs/>
          <w:lang w:eastAsia="de-AT"/>
        </w:rPr>
        <w:t xml:space="preserve">ECDL </w:t>
      </w:r>
      <w:r w:rsidR="00F9614D">
        <w:rPr>
          <w:rFonts w:eastAsia="Times New Roman" w:cs="Times New Roman"/>
          <w:b/>
          <w:bCs/>
          <w:lang w:eastAsia="de-AT"/>
        </w:rPr>
        <w:t>Profile</w:t>
      </w:r>
      <w:r w:rsidR="00884002">
        <w:rPr>
          <w:rFonts w:eastAsia="Times New Roman" w:cs="Times New Roman"/>
          <w:b/>
          <w:bCs/>
          <w:lang w:eastAsia="de-AT"/>
        </w:rPr>
        <w:t xml:space="preserve">: </w:t>
      </w:r>
      <w:r w:rsidR="00F9614D">
        <w:rPr>
          <w:rFonts w:eastAsia="Times New Roman" w:cs="Times New Roman"/>
          <w:b/>
          <w:bCs/>
          <w:lang w:eastAsia="de-AT"/>
        </w:rPr>
        <w:t>3</w:t>
      </w:r>
      <w:r w:rsidR="00F9614D">
        <w:rPr>
          <w:rFonts w:eastAsia="Times New Roman" w:cs="Times New Roman"/>
          <w:b/>
          <w:bCs/>
          <w:lang w:eastAsia="de-AT"/>
        </w:rPr>
        <w:t xml:space="preserve"> Pflichtmodule + 1 Wahlmodul</w:t>
      </w:r>
    </w:p>
    <w:p w:rsidR="00F9614D" w:rsidRDefault="00F9614D" w:rsidP="00254A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de-AT"/>
        </w:rPr>
      </w:pPr>
      <w:r>
        <w:rPr>
          <w:rFonts w:eastAsia="Times New Roman" w:cs="Times New Roman"/>
          <w:lang w:eastAsia="de-AT"/>
        </w:rPr>
        <w:t xml:space="preserve">Pflichtmodule: </w:t>
      </w:r>
      <w:r>
        <w:t>Computer Grundlagen, Online Grundlagen</w:t>
      </w:r>
      <w:r w:rsidR="00884002">
        <w:rPr>
          <w:rFonts w:eastAsia="Times New Roman" w:cs="Times New Roman"/>
          <w:lang w:eastAsia="de-AT"/>
        </w:rPr>
        <w:t>, Textverarbeitung</w:t>
      </w:r>
    </w:p>
    <w:p w:rsidR="00254A18" w:rsidRDefault="00F9614D" w:rsidP="00254A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de-AT"/>
        </w:rPr>
      </w:pPr>
      <w:r>
        <w:rPr>
          <w:rFonts w:eastAsia="Times New Roman" w:cs="Times New Roman"/>
          <w:lang w:eastAsia="de-AT"/>
        </w:rPr>
        <w:t xml:space="preserve">Wahlmodul: </w:t>
      </w:r>
      <w:r w:rsidR="003F2765">
        <w:rPr>
          <w:rFonts w:eastAsia="Times New Roman" w:cs="Times New Roman"/>
          <w:lang w:eastAsia="de-AT"/>
        </w:rPr>
        <w:t>Tabellenkalkulation</w:t>
      </w:r>
      <w:r>
        <w:rPr>
          <w:rFonts w:eastAsia="Times New Roman" w:cs="Times New Roman"/>
          <w:lang w:eastAsia="de-AT"/>
        </w:rPr>
        <w:t>, Präsentation, IT-Security</w:t>
      </w:r>
    </w:p>
    <w:p w:rsidR="00254A18" w:rsidRPr="00254A18" w:rsidRDefault="00884002" w:rsidP="000B5057">
      <w:pPr>
        <w:spacing w:after="0" w:line="240" w:lineRule="auto"/>
        <w:rPr>
          <w:rFonts w:eastAsia="Times New Roman" w:cs="Times New Roman"/>
          <w:b/>
          <w:bCs/>
          <w:lang w:eastAsia="de-AT"/>
        </w:rPr>
      </w:pPr>
      <w:r>
        <w:rPr>
          <w:rFonts w:eastAsia="Times New Roman" w:cs="Times New Roman"/>
          <w:b/>
          <w:bCs/>
          <w:lang w:eastAsia="de-AT"/>
        </w:rPr>
        <w:t xml:space="preserve">ECDL Standard: </w:t>
      </w:r>
      <w:r w:rsidR="00F9614D">
        <w:rPr>
          <w:rFonts w:eastAsia="Times New Roman" w:cs="Times New Roman"/>
          <w:b/>
          <w:bCs/>
          <w:lang w:eastAsia="de-AT"/>
        </w:rPr>
        <w:t>6</w:t>
      </w:r>
      <w:r>
        <w:rPr>
          <w:rFonts w:eastAsia="Times New Roman" w:cs="Times New Roman"/>
          <w:b/>
          <w:bCs/>
          <w:lang w:eastAsia="de-AT"/>
        </w:rPr>
        <w:t xml:space="preserve"> Pflichtmodule + </w:t>
      </w:r>
      <w:r w:rsidR="00F9614D">
        <w:rPr>
          <w:rFonts w:eastAsia="Times New Roman" w:cs="Times New Roman"/>
          <w:b/>
          <w:bCs/>
          <w:lang w:eastAsia="de-AT"/>
        </w:rPr>
        <w:t xml:space="preserve">1 </w:t>
      </w:r>
      <w:r>
        <w:rPr>
          <w:rFonts w:eastAsia="Times New Roman" w:cs="Times New Roman"/>
          <w:b/>
          <w:bCs/>
          <w:lang w:eastAsia="de-AT"/>
        </w:rPr>
        <w:t>Wahlmodul</w:t>
      </w:r>
    </w:p>
    <w:p w:rsidR="003F2765" w:rsidRDefault="00884002" w:rsidP="008D4B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de-AT"/>
        </w:rPr>
      </w:pPr>
      <w:r w:rsidRPr="003F2765">
        <w:rPr>
          <w:rFonts w:eastAsia="Times New Roman" w:cs="Times New Roman"/>
          <w:lang w:eastAsia="de-AT"/>
        </w:rPr>
        <w:t xml:space="preserve">Pflichtmodule: </w:t>
      </w:r>
      <w:r w:rsidR="00F9614D">
        <w:t>Computer Grundlagen, Online Grundlagen, Textverarbeitung, Tabellenkalkulation, Präsentation und IT-Security</w:t>
      </w:r>
    </w:p>
    <w:p w:rsidR="00884002" w:rsidRPr="003F2765" w:rsidRDefault="00884002" w:rsidP="00D654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de-AT"/>
        </w:rPr>
      </w:pPr>
      <w:r w:rsidRPr="003F2765">
        <w:rPr>
          <w:rFonts w:eastAsia="Times New Roman" w:cs="Times New Roman"/>
          <w:lang w:eastAsia="de-AT"/>
        </w:rPr>
        <w:t xml:space="preserve">Wahlmodule: </w:t>
      </w:r>
      <w:r w:rsidR="00F9614D">
        <w:rPr>
          <w:rFonts w:eastAsia="Times New Roman" w:cs="Times New Roman"/>
          <w:lang w:eastAsia="de-AT"/>
        </w:rPr>
        <w:t>D</w:t>
      </w:r>
      <w:r w:rsidR="00F9614D">
        <w:t>atenbanken anwenden, Online Zusammenarbeit, Computing</w:t>
      </w:r>
      <w:r w:rsidR="00F9614D">
        <w:t xml:space="preserve"> </w:t>
      </w:r>
      <w:r w:rsidR="00F9614D">
        <w:rPr>
          <w:rFonts w:eastAsia="Times New Roman" w:cs="Times New Roman"/>
          <w:lang w:eastAsia="de-AT"/>
        </w:rPr>
        <w:t xml:space="preserve">(mit </w:t>
      </w:r>
      <w:proofErr w:type="spellStart"/>
      <w:r w:rsidR="00F9614D">
        <w:rPr>
          <w:rFonts w:eastAsia="Times New Roman" w:cs="Times New Roman"/>
          <w:lang w:eastAsia="de-AT"/>
        </w:rPr>
        <w:t>Phyton</w:t>
      </w:r>
      <w:proofErr w:type="spellEnd"/>
      <w:r w:rsidR="00F9614D">
        <w:rPr>
          <w:rFonts w:eastAsia="Times New Roman" w:cs="Times New Roman"/>
          <w:lang w:eastAsia="de-AT"/>
        </w:rPr>
        <w:t>)</w:t>
      </w:r>
      <w:r w:rsidR="00F9614D">
        <w:t xml:space="preserve"> oder Bildbearbeitung</w:t>
      </w:r>
      <w:r w:rsidR="003F2765">
        <w:rPr>
          <w:rFonts w:eastAsia="Times New Roman" w:cs="Times New Roman"/>
          <w:lang w:eastAsia="de-AT"/>
        </w:rPr>
        <w:t xml:space="preserve"> </w:t>
      </w:r>
    </w:p>
    <w:p w:rsidR="00985061" w:rsidRPr="000B5057" w:rsidRDefault="00985061" w:rsidP="003574BC">
      <w:pPr>
        <w:autoSpaceDE w:val="0"/>
        <w:autoSpaceDN w:val="0"/>
        <w:adjustRightInd w:val="0"/>
        <w:spacing w:before="120" w:after="0" w:line="240" w:lineRule="auto"/>
        <w:jc w:val="both"/>
        <w:rPr>
          <w:b/>
          <w:bCs/>
          <w:sz w:val="24"/>
          <w:szCs w:val="24"/>
        </w:rPr>
      </w:pPr>
      <w:r w:rsidRPr="000B5057">
        <w:rPr>
          <w:b/>
          <w:bCs/>
          <w:sz w:val="24"/>
          <w:szCs w:val="24"/>
        </w:rPr>
        <w:t>Prüfung</w:t>
      </w:r>
    </w:p>
    <w:p w:rsidR="00985061" w:rsidRPr="000B5057" w:rsidRDefault="00985061" w:rsidP="003574BC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</w:rPr>
      </w:pPr>
      <w:r w:rsidRPr="000B5057">
        <w:rPr>
          <w:rFonts w:cs="MyriadPro-Regular"/>
        </w:rPr>
        <w:t>Ein</w:t>
      </w:r>
      <w:r w:rsidR="00F771A2" w:rsidRPr="000B5057">
        <w:rPr>
          <w:rFonts w:cs="MyriadPro-Regular"/>
        </w:rPr>
        <w:t>e</w:t>
      </w:r>
      <w:r w:rsidRPr="000B5057">
        <w:rPr>
          <w:rFonts w:cs="MyriadPro-Regular"/>
        </w:rPr>
        <w:t xml:space="preserve"> </w:t>
      </w:r>
      <w:proofErr w:type="spellStart"/>
      <w:r w:rsidRPr="000B5057">
        <w:rPr>
          <w:rFonts w:cs="MyriadPro-Regular"/>
        </w:rPr>
        <w:t>KontaktlehrerIn</w:t>
      </w:r>
      <w:proofErr w:type="spellEnd"/>
      <w:r w:rsidR="00F771A2" w:rsidRPr="000B5057">
        <w:rPr>
          <w:rFonts w:cs="MyriadPro-Regular"/>
        </w:rPr>
        <w:t xml:space="preserve"> </w:t>
      </w:r>
      <w:r w:rsidRPr="000B5057">
        <w:rPr>
          <w:rFonts w:cs="MyriadPro-Regular"/>
        </w:rPr>
        <w:t>unseres Gymnasiums meldet die Prüfung beim "V</w:t>
      </w:r>
      <w:r w:rsidR="00F771A2" w:rsidRPr="000B5057">
        <w:rPr>
          <w:rFonts w:cs="MyriadPro-Regular"/>
        </w:rPr>
        <w:t xml:space="preserve">erein </w:t>
      </w:r>
      <w:r w:rsidR="00F9614D">
        <w:rPr>
          <w:rFonts w:cs="MyriadPro-Regular"/>
        </w:rPr>
        <w:t xml:space="preserve">zur Förderung des </w:t>
      </w:r>
      <w:r w:rsidR="00F771A2" w:rsidRPr="000B5057">
        <w:rPr>
          <w:rFonts w:cs="MyriadPro-Regular"/>
        </w:rPr>
        <w:t>ECDL an Schulen" an. Eine</w:t>
      </w:r>
      <w:r w:rsidRPr="000B5057">
        <w:rPr>
          <w:rFonts w:cs="MyriadPro-Regular"/>
        </w:rPr>
        <w:t xml:space="preserve"> externe </w:t>
      </w:r>
      <w:proofErr w:type="spellStart"/>
      <w:r w:rsidRPr="000B5057">
        <w:rPr>
          <w:rFonts w:cs="MyriadPro-Regular"/>
        </w:rPr>
        <w:t>PrüferIn</w:t>
      </w:r>
      <w:proofErr w:type="spellEnd"/>
      <w:r w:rsidRPr="000B5057">
        <w:rPr>
          <w:rFonts w:cs="MyriadPro-Regular"/>
        </w:rPr>
        <w:t xml:space="preserve"> nimmt die Prüfungen an unserer Schule in der gewohnten Umgebung de</w:t>
      </w:r>
      <w:r w:rsidR="00F771A2" w:rsidRPr="000B5057">
        <w:rPr>
          <w:rFonts w:cs="MyriadPro-Regular"/>
        </w:rPr>
        <w:t xml:space="preserve">r </w:t>
      </w:r>
      <w:proofErr w:type="spellStart"/>
      <w:r w:rsidR="00F771A2" w:rsidRPr="000B5057">
        <w:rPr>
          <w:rFonts w:cs="MyriadPro-Regular"/>
        </w:rPr>
        <w:t>SchülerI</w:t>
      </w:r>
      <w:r w:rsidRPr="000B5057">
        <w:rPr>
          <w:rFonts w:cs="MyriadPro-Regular"/>
        </w:rPr>
        <w:t>n</w:t>
      </w:r>
      <w:proofErr w:type="spellEnd"/>
      <w:r w:rsidRPr="000B5057">
        <w:rPr>
          <w:rFonts w:cs="MyriadPro-Regular"/>
        </w:rPr>
        <w:t xml:space="preserve"> ab.</w:t>
      </w:r>
    </w:p>
    <w:p w:rsidR="00985061" w:rsidRPr="000B5057" w:rsidRDefault="00985061" w:rsidP="00985061">
      <w:pPr>
        <w:autoSpaceDE w:val="0"/>
        <w:autoSpaceDN w:val="0"/>
        <w:adjustRightInd w:val="0"/>
        <w:spacing w:after="0" w:line="240" w:lineRule="auto"/>
        <w:rPr>
          <w:rFonts w:cs="MyriadPro-Regular"/>
        </w:rPr>
      </w:pPr>
      <w:r w:rsidRPr="000B5057">
        <w:rPr>
          <w:rFonts w:cs="MyriadPro-Regular"/>
        </w:rPr>
        <w:t>Dauer jeder einzelnen Prüfung: 45 Minuten</w:t>
      </w:r>
    </w:p>
    <w:p w:rsidR="00271FD3" w:rsidRDefault="00985061" w:rsidP="003574BC">
      <w:pPr>
        <w:autoSpaceDE w:val="0"/>
        <w:autoSpaceDN w:val="0"/>
        <w:adjustRightInd w:val="0"/>
        <w:spacing w:after="240" w:line="240" w:lineRule="auto"/>
        <w:rPr>
          <w:rFonts w:cs="MyriadPro-Regular"/>
          <w:u w:val="single"/>
        </w:rPr>
      </w:pPr>
      <w:bookmarkStart w:id="0" w:name="_Hlk19117461"/>
      <w:r w:rsidRPr="000B5057">
        <w:rPr>
          <w:rFonts w:cs="MyriadPro-Regular"/>
        </w:rPr>
        <w:t>Prüfungstermine in unserer Schule</w:t>
      </w:r>
      <w:r w:rsidR="000B5057" w:rsidRPr="000B5057">
        <w:rPr>
          <w:rFonts w:cs="MyriadPro-Regular"/>
        </w:rPr>
        <w:t>:</w:t>
      </w:r>
      <w:r w:rsidRPr="000B5057">
        <w:rPr>
          <w:rFonts w:cs="MyriadPro-Regular"/>
        </w:rPr>
        <w:t xml:space="preserve"> </w:t>
      </w:r>
      <w:hyperlink r:id="rId11" w:history="1">
        <w:r w:rsidR="000B5057" w:rsidRPr="000B5057">
          <w:rPr>
            <w:rStyle w:val="Hyperlink"/>
            <w:rFonts w:cs="MyriadPro-Regular"/>
          </w:rPr>
          <w:t>http://www.it-gymnasium.at/index.php?id=ecdl-termine</w:t>
        </w:r>
      </w:hyperlink>
      <w:r w:rsidR="000B5057" w:rsidRPr="000B5057">
        <w:rPr>
          <w:rFonts w:cs="MyriadPro-Regular"/>
          <w:u w:val="single"/>
        </w:rPr>
        <w:t xml:space="preserve"> </w:t>
      </w:r>
    </w:p>
    <w:p w:rsidR="000B5057" w:rsidRPr="000B5057" w:rsidRDefault="00271FD3" w:rsidP="003574BC">
      <w:pPr>
        <w:autoSpaceDE w:val="0"/>
        <w:autoSpaceDN w:val="0"/>
        <w:adjustRightInd w:val="0"/>
        <w:spacing w:after="240" w:line="240" w:lineRule="auto"/>
        <w:rPr>
          <w:rFonts w:cs="MyriadPro-Regular"/>
          <w:u w:val="single"/>
        </w:rPr>
      </w:pPr>
      <w:r w:rsidRPr="000B5057">
        <w:rPr>
          <w:rFonts w:cs="MyriadPro-Regular"/>
        </w:rPr>
        <w:t xml:space="preserve">Jede erfolgreiche Prüfung wird in der </w:t>
      </w:r>
      <w:r w:rsidRPr="000B5057">
        <w:rPr>
          <w:rFonts w:cs="MyriadPro-Bold"/>
          <w:b/>
          <w:bCs/>
        </w:rPr>
        <w:t xml:space="preserve">Datenbank des Vereins </w:t>
      </w:r>
      <w:r w:rsidRPr="000B5057">
        <w:rPr>
          <w:rFonts w:cs="MyriadPro-Regular"/>
        </w:rPr>
        <w:t xml:space="preserve">unter </w:t>
      </w:r>
      <w:hyperlink r:id="rId12" w:history="1">
        <w:r w:rsidRPr="00572C53">
          <w:rPr>
            <w:rStyle w:val="Hyperlink"/>
          </w:rPr>
          <w:t>https://www.it4education.at/ergebnisabfrage.html</w:t>
        </w:r>
      </w:hyperlink>
      <w:r>
        <w:t xml:space="preserve"> </w:t>
      </w:r>
      <w:r>
        <w:rPr>
          <w:rFonts w:cs="MyriadPro-Regular"/>
        </w:rPr>
        <w:t xml:space="preserve"> </w:t>
      </w:r>
      <w:r w:rsidRPr="000B5057">
        <w:rPr>
          <w:rFonts w:cs="MyriadPro-Regular"/>
        </w:rPr>
        <w:t>eingetragen</w:t>
      </w:r>
      <w:r>
        <w:rPr>
          <w:rFonts w:cs="MyriadPro-Regular"/>
        </w:rPr>
        <w:t xml:space="preserve"> und ist dort auch </w:t>
      </w:r>
      <w:r w:rsidR="00D76FB5">
        <w:rPr>
          <w:rFonts w:cs="MyriadPro-Regular"/>
        </w:rPr>
        <w:t xml:space="preserve">unter Angabe der Skills Card Nummer </w:t>
      </w:r>
      <w:bookmarkStart w:id="1" w:name="_GoBack"/>
      <w:bookmarkEnd w:id="1"/>
      <w:r>
        <w:rPr>
          <w:rFonts w:cs="MyriadPro-Regular"/>
        </w:rPr>
        <w:t>abrufbar</w:t>
      </w:r>
      <w:r w:rsidRPr="000B5057">
        <w:rPr>
          <w:rFonts w:cs="MyriadPro-Regular"/>
        </w:rPr>
        <w:t>.</w:t>
      </w:r>
    </w:p>
    <w:bookmarkEnd w:id="0"/>
    <w:p w:rsidR="00985061" w:rsidRPr="000B5057" w:rsidRDefault="00985061" w:rsidP="000B5057">
      <w:pPr>
        <w:autoSpaceDE w:val="0"/>
        <w:autoSpaceDN w:val="0"/>
        <w:adjustRightInd w:val="0"/>
        <w:spacing w:before="120" w:after="0" w:line="240" w:lineRule="auto"/>
        <w:rPr>
          <w:b/>
          <w:bCs/>
          <w:sz w:val="24"/>
          <w:szCs w:val="24"/>
        </w:rPr>
      </w:pPr>
      <w:r w:rsidRPr="000B5057">
        <w:rPr>
          <w:b/>
          <w:bCs/>
          <w:sz w:val="24"/>
          <w:szCs w:val="24"/>
        </w:rPr>
        <w:t>Kosten</w:t>
      </w:r>
    </w:p>
    <w:p w:rsidR="00985061" w:rsidRPr="000B5057" w:rsidRDefault="00985061" w:rsidP="003574BC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</w:rPr>
      </w:pPr>
      <w:r w:rsidRPr="000B5057">
        <w:rPr>
          <w:rFonts w:cs="MyriadPro-Regular"/>
        </w:rPr>
        <w:t>Um eine so genannte „Skills Card Nummer“ zu erhalten, muss der</w:t>
      </w:r>
      <w:r w:rsidR="000B5057">
        <w:rPr>
          <w:rFonts w:cs="MyriadPro-Regular"/>
        </w:rPr>
        <w:t xml:space="preserve"> KandidatI</w:t>
      </w:r>
      <w:r w:rsidRPr="000B5057">
        <w:rPr>
          <w:rFonts w:cs="MyriadPro-Regular"/>
        </w:rPr>
        <w:t>n ein "Elektronische Skills Card" erwerben, die für Schüler</w:t>
      </w:r>
      <w:r w:rsidR="00F9614D">
        <w:rPr>
          <w:rFonts w:cs="MyriadPro-Regular"/>
        </w:rPr>
        <w:t>Innen</w:t>
      </w:r>
      <w:r w:rsidRPr="000B5057">
        <w:rPr>
          <w:rFonts w:cs="MyriadPro-Regular"/>
        </w:rPr>
        <w:t xml:space="preserve"> um </w:t>
      </w:r>
      <w:r w:rsidRPr="000B5057">
        <w:rPr>
          <w:rFonts w:cs="MyriadPro-Bold"/>
          <w:b/>
          <w:bCs/>
        </w:rPr>
        <w:t xml:space="preserve">€ </w:t>
      </w:r>
      <w:r w:rsidR="003F2765">
        <w:rPr>
          <w:rFonts w:cs="MyriadPro-Bold"/>
          <w:b/>
          <w:bCs/>
        </w:rPr>
        <w:t>37</w:t>
      </w:r>
      <w:r w:rsidRPr="000B5057">
        <w:rPr>
          <w:rFonts w:cs="MyriadPro-Bold"/>
          <w:b/>
          <w:bCs/>
        </w:rPr>
        <w:t xml:space="preserve">,- </w:t>
      </w:r>
      <w:r w:rsidRPr="000B5057">
        <w:rPr>
          <w:rFonts w:cs="MyriadPro-Regular"/>
        </w:rPr>
        <w:t>zu beziehen ist.</w:t>
      </w:r>
    </w:p>
    <w:p w:rsidR="00985061" w:rsidRPr="000B5057" w:rsidRDefault="00985061" w:rsidP="00985061">
      <w:pPr>
        <w:autoSpaceDE w:val="0"/>
        <w:autoSpaceDN w:val="0"/>
        <w:adjustRightInd w:val="0"/>
        <w:spacing w:after="0" w:line="240" w:lineRule="auto"/>
        <w:rPr>
          <w:rFonts w:cs="MyriadPro-Regular"/>
        </w:rPr>
      </w:pPr>
      <w:r w:rsidRPr="000B5057">
        <w:rPr>
          <w:rFonts w:cs="MyriadPro-Regular"/>
        </w:rPr>
        <w:t xml:space="preserve">Für die Prüfung werden pro Modul </w:t>
      </w:r>
      <w:r w:rsidRPr="000B5057">
        <w:rPr>
          <w:rFonts w:cs="MyriadPro-Bold"/>
          <w:b/>
          <w:bCs/>
        </w:rPr>
        <w:t>€ 1</w:t>
      </w:r>
      <w:r w:rsidR="003F2765">
        <w:rPr>
          <w:rFonts w:cs="MyriadPro-Bold"/>
          <w:b/>
          <w:bCs/>
        </w:rPr>
        <w:t>5</w:t>
      </w:r>
      <w:r w:rsidRPr="000B5057">
        <w:rPr>
          <w:rFonts w:cs="MyriadPro-Bold"/>
          <w:b/>
          <w:bCs/>
        </w:rPr>
        <w:t>,--</w:t>
      </w:r>
      <w:r w:rsidRPr="000B5057">
        <w:rPr>
          <w:rFonts w:cs="MyriadPro-Regular"/>
        </w:rPr>
        <w:t>(inkl. MWST) verrechnet.</w:t>
      </w:r>
    </w:p>
    <w:p w:rsidR="00042CA2" w:rsidRPr="000B5057" w:rsidRDefault="00985061" w:rsidP="00985061">
      <w:pPr>
        <w:autoSpaceDE w:val="0"/>
        <w:autoSpaceDN w:val="0"/>
        <w:adjustRightInd w:val="0"/>
        <w:spacing w:after="0" w:line="240" w:lineRule="auto"/>
        <w:rPr>
          <w:rFonts w:cs="MyriadPro-Regular"/>
        </w:rPr>
      </w:pPr>
      <w:r w:rsidRPr="000B5057">
        <w:rPr>
          <w:rFonts w:cs="MyriadPro-Regular"/>
        </w:rPr>
        <w:t xml:space="preserve">Der Europäische Computer-Führerschein </w:t>
      </w:r>
      <w:r w:rsidR="003574BC">
        <w:rPr>
          <w:rFonts w:cs="MyriadPro-Regular"/>
        </w:rPr>
        <w:t xml:space="preserve">Standard </w:t>
      </w:r>
      <w:r w:rsidRPr="000B5057">
        <w:rPr>
          <w:rFonts w:cs="MyriadPro-Regular"/>
        </w:rPr>
        <w:t xml:space="preserve">kostet für SchülerInnen insgesamt </w:t>
      </w:r>
      <w:r w:rsidRPr="000B5057">
        <w:rPr>
          <w:rFonts w:cs="MyriadPro-Bold"/>
          <w:b/>
          <w:bCs/>
        </w:rPr>
        <w:t>€ 1</w:t>
      </w:r>
      <w:r w:rsidR="005E3413">
        <w:rPr>
          <w:rFonts w:cs="MyriadPro-Bold"/>
          <w:b/>
          <w:bCs/>
        </w:rPr>
        <w:t>4</w:t>
      </w:r>
      <w:r w:rsidR="003F2765">
        <w:rPr>
          <w:rFonts w:cs="MyriadPro-Bold"/>
          <w:b/>
          <w:bCs/>
        </w:rPr>
        <w:t>2</w:t>
      </w:r>
      <w:r w:rsidRPr="000B5057">
        <w:rPr>
          <w:rFonts w:cs="MyriadPro-Bold"/>
          <w:b/>
          <w:bCs/>
        </w:rPr>
        <w:t>,--</w:t>
      </w:r>
      <w:r w:rsidRPr="000B5057">
        <w:rPr>
          <w:rFonts w:cs="MyriadPro-Regular"/>
        </w:rPr>
        <w:t>.</w:t>
      </w:r>
    </w:p>
    <w:p w:rsidR="000B5057" w:rsidRDefault="000B5057" w:rsidP="00F771A2">
      <w:pPr>
        <w:autoSpaceDE w:val="0"/>
        <w:autoSpaceDN w:val="0"/>
        <w:adjustRightInd w:val="0"/>
        <w:spacing w:after="0" w:line="240" w:lineRule="auto"/>
        <w:jc w:val="right"/>
        <w:rPr>
          <w:rFonts w:cs="MyriadPro-Regular"/>
          <w:sz w:val="21"/>
          <w:szCs w:val="21"/>
        </w:rPr>
      </w:pPr>
    </w:p>
    <w:p w:rsidR="00F771A2" w:rsidRPr="00254A18" w:rsidRDefault="00F771A2" w:rsidP="00F771A2">
      <w:pPr>
        <w:autoSpaceDE w:val="0"/>
        <w:autoSpaceDN w:val="0"/>
        <w:adjustRightInd w:val="0"/>
        <w:spacing w:after="0" w:line="240" w:lineRule="auto"/>
        <w:jc w:val="right"/>
        <w:rPr>
          <w:rFonts w:cs="MyriadPro-Regular"/>
          <w:sz w:val="21"/>
          <w:szCs w:val="21"/>
        </w:rPr>
      </w:pPr>
      <w:r w:rsidRPr="00254A18">
        <w:rPr>
          <w:rFonts w:cs="MyriadPro-Regular"/>
          <w:sz w:val="21"/>
          <w:szCs w:val="21"/>
        </w:rPr>
        <w:t>September 201</w:t>
      </w:r>
      <w:r w:rsidR="00F9614D">
        <w:rPr>
          <w:rFonts w:cs="MyriadPro-Regular"/>
          <w:sz w:val="21"/>
          <w:szCs w:val="21"/>
        </w:rPr>
        <w:t>9</w:t>
      </w:r>
    </w:p>
    <w:sectPr w:rsidR="00F771A2" w:rsidRPr="00254A18" w:rsidSect="00F771A2">
      <w:headerReference w:type="defaul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D7F" w:rsidRDefault="006B0D7F" w:rsidP="00985061">
      <w:pPr>
        <w:spacing w:after="0" w:line="240" w:lineRule="auto"/>
      </w:pPr>
      <w:r>
        <w:separator/>
      </w:r>
    </w:p>
  </w:endnote>
  <w:endnote w:type="continuationSeparator" w:id="0">
    <w:p w:rsidR="006B0D7F" w:rsidRDefault="006B0D7F" w:rsidP="0098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D7F" w:rsidRDefault="006B0D7F" w:rsidP="00985061">
      <w:pPr>
        <w:spacing w:after="0" w:line="240" w:lineRule="auto"/>
      </w:pPr>
      <w:r>
        <w:separator/>
      </w:r>
    </w:p>
  </w:footnote>
  <w:footnote w:type="continuationSeparator" w:id="0">
    <w:p w:rsidR="006B0D7F" w:rsidRDefault="006B0D7F" w:rsidP="00985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061" w:rsidRPr="003574BC" w:rsidRDefault="003574BC" w:rsidP="003574BC">
    <w:pPr>
      <w:pStyle w:val="Kopfzeile"/>
    </w:pPr>
    <w:r>
      <w:rPr>
        <w:noProof/>
      </w:rPr>
      <w:drawing>
        <wp:inline distT="0" distB="0" distL="0" distR="0">
          <wp:extent cx="5758815" cy="1079500"/>
          <wp:effectExtent l="0" t="0" r="0" b="635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E5BBF"/>
    <w:multiLevelType w:val="multilevel"/>
    <w:tmpl w:val="F32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E5DA3"/>
    <w:multiLevelType w:val="multilevel"/>
    <w:tmpl w:val="09F2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A82611"/>
    <w:multiLevelType w:val="hybridMultilevel"/>
    <w:tmpl w:val="1E62E7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64D8D"/>
    <w:multiLevelType w:val="hybridMultilevel"/>
    <w:tmpl w:val="4C1E6964"/>
    <w:lvl w:ilvl="0" w:tplc="DCEE4C5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61"/>
    <w:rsid w:val="00042CA2"/>
    <w:rsid w:val="000B5057"/>
    <w:rsid w:val="00254A18"/>
    <w:rsid w:val="00271FD3"/>
    <w:rsid w:val="003574BC"/>
    <w:rsid w:val="003F2765"/>
    <w:rsid w:val="005E3413"/>
    <w:rsid w:val="006B0D7F"/>
    <w:rsid w:val="00705576"/>
    <w:rsid w:val="00710B54"/>
    <w:rsid w:val="00732CDD"/>
    <w:rsid w:val="00884002"/>
    <w:rsid w:val="00892A49"/>
    <w:rsid w:val="00915400"/>
    <w:rsid w:val="00985061"/>
    <w:rsid w:val="00A47996"/>
    <w:rsid w:val="00B90D7C"/>
    <w:rsid w:val="00D76FB5"/>
    <w:rsid w:val="00F771A2"/>
    <w:rsid w:val="00F9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DEBD6"/>
  <w15:docId w15:val="{2E859CD0-B74C-4E51-9A48-FF9F6022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506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8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061"/>
  </w:style>
  <w:style w:type="paragraph" w:styleId="Fuzeile">
    <w:name w:val="footer"/>
    <w:basedOn w:val="Standard"/>
    <w:link w:val="FuzeileZchn"/>
    <w:uiPriority w:val="99"/>
    <w:unhideWhenUsed/>
    <w:rsid w:val="0098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5061"/>
  </w:style>
  <w:style w:type="table" w:styleId="Tabellenraster">
    <w:name w:val="Table Grid"/>
    <w:basedOn w:val="NormaleTabelle"/>
    <w:uiPriority w:val="59"/>
    <w:rsid w:val="00985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8506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85061"/>
    <w:pPr>
      <w:ind w:left="720"/>
      <w:contextualSpacing/>
    </w:pPr>
  </w:style>
  <w:style w:type="paragraph" w:customStyle="1" w:styleId="bodytext">
    <w:name w:val="bodytext"/>
    <w:basedOn w:val="Standard"/>
    <w:rsid w:val="0025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0B5057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6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dl.a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it4education.at/ergebnisabfrag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-gymnasium.at/index.php?id=ecdl-termin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cdl.at/de/zertifik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4education.at/ecdl/ecdl-zertifikate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BG|BRG Villach St. Martin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ROHRER</dc:creator>
  <cp:lastModifiedBy>Marianne ROHRER</cp:lastModifiedBy>
  <cp:revision>3</cp:revision>
  <cp:lastPrinted>2018-09-14T15:55:00Z</cp:lastPrinted>
  <dcterms:created xsi:type="dcterms:W3CDTF">2019-09-11T15:58:00Z</dcterms:created>
  <dcterms:modified xsi:type="dcterms:W3CDTF">2019-09-11T16:07:00Z</dcterms:modified>
</cp:coreProperties>
</file>